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itel"/>
        <w:rPr>
          <w:rFonts w:ascii="Arial Black" w:hAnsi="Arial Black"/>
          <w:sz w:val="28"/>
          <w:szCs w:val="28"/>
        </w:rPr>
      </w:pPr>
      <w:r>
        <w:rPr>
          <w:rFonts w:ascii="Arial Black" w:hAnsi="Arial Black"/>
          <w:sz w:val="28"/>
          <w:szCs w:val="28"/>
        </w:rPr>
        <w:t>Erklärung gem. Art. 2 Abs. 3 Leadpartnervertrag |</w:t>
      </w:r>
    </w:p>
    <w:p>
      <w:pPr>
        <w:pStyle w:val="Titel"/>
        <w:rPr>
          <w:rFonts w:ascii="Arial Black" w:hAnsi="Arial Black"/>
          <w:sz w:val="28"/>
          <w:szCs w:val="28"/>
          <w:lang w:val="da-DK"/>
        </w:rPr>
      </w:pPr>
      <w:r>
        <w:rPr>
          <w:rFonts w:ascii="Arial Black" w:hAnsi="Arial Black"/>
          <w:sz w:val="28"/>
          <w:szCs w:val="28"/>
          <w:lang w:val="da-DK"/>
        </w:rPr>
        <w:t xml:space="preserve">Erklæring i henhold til art. 2, stk. 3 i </w:t>
      </w:r>
      <w:proofErr w:type="spellStart"/>
      <w:r>
        <w:rPr>
          <w:rFonts w:ascii="Arial Black" w:hAnsi="Arial Black"/>
          <w:sz w:val="28"/>
          <w:szCs w:val="28"/>
          <w:lang w:val="da-DK"/>
        </w:rPr>
        <w:t>leadpartneraftalen</w:t>
      </w:r>
      <w:proofErr w:type="spellEnd"/>
    </w:p>
    <w:p>
      <w:pPr>
        <w:pStyle w:val="Titel"/>
        <w:rPr>
          <w:rFonts w:asciiTheme="minorHAnsi" w:hAnsiTheme="minorHAnsi" w:cstheme="minorHAnsi"/>
          <w:color w:val="4A4A4A"/>
          <w:sz w:val="22"/>
          <w:szCs w:val="22"/>
        </w:rPr>
      </w:pPr>
      <w:r>
        <w:rPr>
          <w:rFonts w:asciiTheme="minorHAnsi" w:hAnsiTheme="minorHAnsi" w:cstheme="minorHAnsi"/>
          <w:noProof/>
          <w:color w:val="4A4A4A"/>
          <w:sz w:val="22"/>
          <w:szCs w:val="22"/>
          <w:lang w:eastAsia="de-DE"/>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825500</wp:posOffset>
                </wp:positionV>
                <wp:extent cx="5800725" cy="2286000"/>
                <wp:effectExtent l="0" t="0" r="9525" b="0"/>
                <wp:wrapTopAndBottom/>
                <wp:docPr id="8" name="Textfeld 8"/>
                <wp:cNvGraphicFramePr/>
                <a:graphic xmlns:a="http://schemas.openxmlformats.org/drawingml/2006/main">
                  <a:graphicData uri="http://schemas.microsoft.com/office/word/2010/wordprocessingShape">
                    <wps:wsp>
                      <wps:cNvSpPr txBox="1"/>
                      <wps:spPr>
                        <a:xfrm>
                          <a:off x="0" y="0"/>
                          <a:ext cx="5800725" cy="2286000"/>
                        </a:xfrm>
                        <a:prstGeom prst="rect">
                          <a:avLst/>
                        </a:prstGeom>
                        <a:solidFill>
                          <a:srgbClr val="D4EEF5"/>
                        </a:solidFill>
                        <a:ln w="6350">
                          <a:noFill/>
                        </a:ln>
                      </wps:spPr>
                      <wps:txbx>
                        <w:txbxContent>
                          <w:p>
                            <w:pPr>
                              <w:pStyle w:val="Flietext"/>
                              <w:ind w:left="142" w:right="188"/>
                              <w:rPr>
                                <w:color w:val="auto"/>
                                <w:lang w:val="da-DK"/>
                              </w:rPr>
                            </w:pPr>
                            <w:r>
                              <w:rPr>
                                <w:color w:val="auto"/>
                              </w:rPr>
                              <w:t xml:space="preserve">DE: Erhält ein Projektpartner den Zuschuss als staatliche Beihilfe gem. Art. 20 der Verordnung (EU) Nr. 651/2014, ist der Leadpartner verpflichtet, mit jedem Auszahlungsantrag für den entsprechenden Projektpartner diese Erklärung einzureichen. Ob und welche Projektpartner staatliche Beihilfe erhalten, können Sie der Tabelle in Art. 2 Abs. 3 Ihres Leadpartnervertrags entnehmen. Reichen Sie bitte je eine Erklärung für jeden beihilfeempfangenden Projektpartner ein. </w:t>
                            </w:r>
                            <w:r>
                              <w:rPr>
                                <w:color w:val="auto"/>
                                <w:lang w:val="da-DK"/>
                              </w:rPr>
                              <w:t xml:space="preserve">| </w:t>
                            </w:r>
                          </w:p>
                          <w:p>
                            <w:pPr>
                              <w:pStyle w:val="Flietext"/>
                              <w:ind w:left="142" w:right="188"/>
                              <w:rPr>
                                <w:color w:val="auto"/>
                                <w:lang w:val="da-DK"/>
                              </w:rPr>
                            </w:pPr>
                            <w:r>
                              <w:rPr>
                                <w:color w:val="auto"/>
                                <w:lang w:val="da-DK"/>
                              </w:rPr>
                              <w:t xml:space="preserve">DK: Hvis en projektpartner modtager tilskuddet som statsstøtte ifølge art. 20 i Forordning (EU) nr. 651/2014, er </w:t>
                            </w:r>
                            <w:proofErr w:type="spellStart"/>
                            <w:r>
                              <w:rPr>
                                <w:color w:val="auto"/>
                                <w:lang w:val="da-DK"/>
                              </w:rPr>
                              <w:t>leadpartneren</w:t>
                            </w:r>
                            <w:proofErr w:type="spellEnd"/>
                            <w:r>
                              <w:rPr>
                                <w:color w:val="auto"/>
                                <w:lang w:val="da-DK"/>
                              </w:rPr>
                              <w:t xml:space="preserve"> forpligtet til for de relevante projektpartnere at indsende denne erklæring med samtlige udbetalingsanmodninger. Om og hvilke projektpartnere, der modtager statsstøtte, fremgår af tabellen i art. 2, stk. 3 i jeres </w:t>
                            </w:r>
                            <w:proofErr w:type="spellStart"/>
                            <w:r>
                              <w:rPr>
                                <w:color w:val="auto"/>
                                <w:lang w:val="da-DK"/>
                              </w:rPr>
                              <w:t>leadpartneraftale</w:t>
                            </w:r>
                            <w:proofErr w:type="spellEnd"/>
                            <w:r>
                              <w:rPr>
                                <w:color w:val="auto"/>
                                <w:lang w:val="da-DK"/>
                              </w:rPr>
                              <w:t>. Der skal venligst indsendes en erklæring for hver enkel af de projektpartnere, som modtager statsstøtte.</w:t>
                            </w:r>
                          </w:p>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0;margin-top:65pt;width:456.75pt;height:180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" fillcolor="#d4eef5" stroked="f" strokeweight=".5pt">
                <v:textbox style="mso-fit-shape-to-text:t" inset=",2.5mm,,2.5mm">
                  <w:txbxContent>
                    <w:p>
                      <w:pPr>
                        <w:pStyle w:val="Flietext"/>
                        <w:ind w:left="142" w:right="188"/>
                        <w:rPr>
                          <w:color w:val="auto"/>
                        </w:rPr>
                      </w:pPr>
                      <w:r>
                        <w:rPr>
                          <w:color w:val="auto"/>
                        </w:rPr>
                        <w:t xml:space="preserve">DE: Erhält ein Projektpartner den Zuschuss als staatliche Beihilfe gem. Art. 20 der Verordnung (EU) Nr. 651/2014, ist der Leadpartner verpflichtet, mit jedem Auszahlungsantrag für den entsprechenden Projektpartner diese Erklärung einzureichen. Ob und welche Projektpartner staatliche Beihilfe erhalten, können Sie der Tabelle in Art. 2 Abs. 3 Ihres Leadpartnervertrags entnehmen. Reichen Sie bitte je eine Erklärung für jeden beihilfeempfangenden Projektpartner ein. </w:t>
                      </w:r>
                      <w:r>
                        <w:rPr>
                          <w:color w:val="auto"/>
                          <w:lang w:val="da-DK"/>
                        </w:rPr>
                        <w:t xml:space="preserve">| </w:t>
                      </w:r>
                    </w:p>
                    <w:p>
                      <w:pPr>
                        <w:pStyle w:val="Flietext"/>
                        <w:ind w:left="142" w:right="188"/>
                        <w:rPr>
                          <w:color w:val="auto"/>
                          <w:lang w:val="da-DK"/>
                        </w:rPr>
                      </w:pPr>
                      <w:r>
                        <w:rPr>
                          <w:color w:val="auto"/>
                          <w:lang w:val="da-DK"/>
                        </w:rPr>
                        <w:t xml:space="preserve">DK: Hvis en projektpartner modtager tilskuddet som statsstøtte ifølge art. 20 i Forordning (EU) nr. 651/2014, er </w:t>
                      </w:r>
                      <w:proofErr w:type="spellStart"/>
                      <w:r>
                        <w:rPr>
                          <w:color w:val="auto"/>
                          <w:lang w:val="da-DK"/>
                        </w:rPr>
                        <w:t>leadpartneren</w:t>
                      </w:r>
                      <w:proofErr w:type="spellEnd"/>
                      <w:r>
                        <w:rPr>
                          <w:color w:val="auto"/>
                          <w:lang w:val="da-DK"/>
                        </w:rPr>
                        <w:t xml:space="preserve"> forpligtet til for de relevante projektpartnere at indsende denne erklæring med samtlige udbetalingsanmodninger. </w:t>
                      </w:r>
                      <w:bookmarkStart w:id="1" w:name="_GoBack"/>
                      <w:bookmarkEnd w:id="1"/>
                      <w:r>
                        <w:rPr>
                          <w:color w:val="auto"/>
                          <w:lang w:val="da-DK"/>
                        </w:rPr>
                        <w:t xml:space="preserve">Om og hvilke projektpartnere, der modtager statsstøtte, fremgår af tabellen i art. 2, stk. 3 i jeres </w:t>
                      </w:r>
                      <w:proofErr w:type="spellStart"/>
                      <w:r>
                        <w:rPr>
                          <w:color w:val="auto"/>
                          <w:lang w:val="da-DK"/>
                        </w:rPr>
                        <w:t>leadpartneraftale</w:t>
                      </w:r>
                      <w:proofErr w:type="spellEnd"/>
                      <w:r>
                        <w:rPr>
                          <w:color w:val="auto"/>
                          <w:lang w:val="da-DK"/>
                        </w:rPr>
                        <w:t>. Der skal venligst indsendes en erklæring for hver enkel af de projektpartnere, som modtager statsstøtte.</w:t>
                      </w:r>
                    </w:p>
                  </w:txbxContent>
                </v:textbox>
                <w10:wrap type="topAndBottom" anchorx="margin"/>
              </v:shape>
            </w:pict>
          </mc:Fallback>
        </mc:AlternateContent>
      </w:r>
      <w:r>
        <w:rPr>
          <w:rFonts w:asciiTheme="minorHAnsi" w:hAnsiTheme="minorHAnsi" w:cstheme="minorHAnsi"/>
          <w:color w:val="4A4A4A"/>
          <w:sz w:val="22"/>
          <w:szCs w:val="22"/>
        </w:rPr>
        <w:t xml:space="preserve">DE: über zuvor erhaltene staatliche Beihilfen für jeden Projektpartner, der einen Zuschuss als staatliche Beihilfe erhält nach Verordnung (EU) Nr. 651/2014 | </w:t>
      </w:r>
    </w:p>
    <w:p>
      <w:pPr>
        <w:pStyle w:val="Titel"/>
        <w:rPr>
          <w:rFonts w:asciiTheme="minorHAnsi" w:hAnsiTheme="minorHAnsi" w:cstheme="minorHAnsi"/>
          <w:color w:val="4A4A4A"/>
          <w:sz w:val="22"/>
          <w:szCs w:val="22"/>
          <w:lang w:val="da-DK"/>
        </w:rPr>
      </w:pPr>
      <w:r>
        <w:rPr>
          <w:rFonts w:asciiTheme="minorHAnsi" w:hAnsiTheme="minorHAnsi" w:cstheme="minorHAnsi"/>
          <w:color w:val="4A4A4A"/>
          <w:sz w:val="22"/>
          <w:szCs w:val="22"/>
          <w:lang w:val="da-DK"/>
        </w:rPr>
        <w:t>DK: vedrørende tidligere modtaget statsstøtte for hver enkel af de projektpartnere, der modtager et tilskud i form af statsstøtte ifølge Forordning (EU) nr. 651/2014</w:t>
      </w:r>
    </w:p>
    <w:p>
      <w:pPr>
        <w:rPr>
          <w:lang w:val="da-DK"/>
        </w:rPr>
      </w:pPr>
    </w:p>
    <w:tbl>
      <w:tblPr>
        <w:tblStyle w:val="Tabellenraster"/>
        <w:tblW w:w="0" w:type="auto"/>
        <w:tblLook w:val="04A0" w:firstRow="1" w:lastRow="0" w:firstColumn="1" w:lastColumn="0" w:noHBand="0" w:noVBand="1"/>
      </w:tblPr>
      <w:tblGrid>
        <w:gridCol w:w="4530"/>
        <w:gridCol w:w="4530"/>
      </w:tblGrid>
      <w:tr>
        <w:tc>
          <w:tcPr>
            <w:tcW w:w="9060" w:type="dxa"/>
            <w:gridSpan w:val="2"/>
            <w:shd w:val="clear" w:color="auto" w:fill="D4EEF5"/>
          </w:tcPr>
          <w:p>
            <w:pPr>
              <w:rPr>
                <w:b/>
                <w:sz w:val="22"/>
                <w:szCs w:val="22"/>
                <w:lang w:val="da-DK"/>
              </w:rPr>
            </w:pPr>
            <w:bookmarkStart w:id="0" w:name="_Toc95834096"/>
            <w:r>
              <w:rPr>
                <w:b/>
                <w:color w:val="auto"/>
                <w:sz w:val="22"/>
                <w:szCs w:val="22"/>
                <w:lang w:val="da-DK"/>
              </w:rPr>
              <w:t>Projektdaten | Projektoplysninger</w:t>
            </w:r>
          </w:p>
        </w:tc>
      </w:tr>
      <w:tr>
        <w:tc>
          <w:tcPr>
            <w:tcW w:w="4530" w:type="dxa"/>
          </w:tcPr>
          <w:p>
            <w:pPr>
              <w:pStyle w:val="Listenabsatz"/>
              <w:numPr>
                <w:ilvl w:val="0"/>
                <w:numId w:val="7"/>
              </w:numPr>
              <w:rPr>
                <w:sz w:val="22"/>
                <w:szCs w:val="22"/>
                <w:lang w:val="da-DK"/>
              </w:rPr>
            </w:pPr>
            <w:r>
              <w:rPr>
                <w:sz w:val="22"/>
                <w:szCs w:val="22"/>
                <w:lang w:val="da-DK"/>
              </w:rPr>
              <w:t xml:space="preserve">DE: </w:t>
            </w:r>
            <w:proofErr w:type="spellStart"/>
            <w:r>
              <w:rPr>
                <w:sz w:val="22"/>
                <w:szCs w:val="22"/>
                <w:lang w:val="da-DK"/>
              </w:rPr>
              <w:t>Projektname</w:t>
            </w:r>
            <w:proofErr w:type="spellEnd"/>
            <w:r>
              <w:rPr>
                <w:sz w:val="22"/>
                <w:szCs w:val="22"/>
                <w:lang w:val="da-DK"/>
              </w:rPr>
              <w:t xml:space="preserve"> | DK: Projektnavn</w:t>
            </w:r>
          </w:p>
        </w:tc>
        <w:tc>
          <w:tcPr>
            <w:tcW w:w="4530" w:type="dxa"/>
          </w:tcPr>
          <w:p>
            <w:pPr>
              <w:rPr>
                <w:sz w:val="22"/>
                <w:szCs w:val="22"/>
                <w:lang w:val="da-DK"/>
              </w:rPr>
            </w:pPr>
          </w:p>
        </w:tc>
      </w:tr>
      <w:tr>
        <w:tc>
          <w:tcPr>
            <w:tcW w:w="4530" w:type="dxa"/>
          </w:tcPr>
          <w:p>
            <w:pPr>
              <w:pStyle w:val="Listenabsatz"/>
              <w:numPr>
                <w:ilvl w:val="0"/>
                <w:numId w:val="7"/>
              </w:numPr>
              <w:rPr>
                <w:sz w:val="22"/>
                <w:szCs w:val="22"/>
                <w:lang w:val="da-DK"/>
              </w:rPr>
            </w:pPr>
            <w:r>
              <w:rPr>
                <w:sz w:val="22"/>
                <w:szCs w:val="22"/>
              </w:rPr>
              <w:t>Leadpartner</w:t>
            </w:r>
          </w:p>
        </w:tc>
        <w:tc>
          <w:tcPr>
            <w:tcW w:w="4530" w:type="dxa"/>
          </w:tcPr>
          <w:p>
            <w:pPr>
              <w:rPr>
                <w:sz w:val="22"/>
                <w:szCs w:val="22"/>
                <w:lang w:val="da-DK"/>
              </w:rPr>
            </w:pPr>
          </w:p>
        </w:tc>
      </w:tr>
      <w:tr>
        <w:tc>
          <w:tcPr>
            <w:tcW w:w="4530" w:type="dxa"/>
          </w:tcPr>
          <w:p>
            <w:pPr>
              <w:pStyle w:val="Listenabsatz"/>
              <w:numPr>
                <w:ilvl w:val="0"/>
                <w:numId w:val="7"/>
              </w:numPr>
              <w:rPr>
                <w:sz w:val="22"/>
                <w:szCs w:val="22"/>
              </w:rPr>
            </w:pPr>
            <w:r>
              <w:rPr>
                <w:sz w:val="22"/>
                <w:szCs w:val="22"/>
              </w:rPr>
              <w:t>Projektpartner</w:t>
            </w:r>
            <w:bookmarkStart w:id="1" w:name="_GoBack"/>
            <w:bookmarkEnd w:id="1"/>
          </w:p>
        </w:tc>
        <w:tc>
          <w:tcPr>
            <w:tcW w:w="4530" w:type="dxa"/>
          </w:tcPr>
          <w:p>
            <w:pPr>
              <w:rPr>
                <w:i/>
                <w:sz w:val="22"/>
                <w:szCs w:val="22"/>
              </w:rPr>
            </w:pPr>
          </w:p>
          <w:p>
            <w:pPr>
              <w:rPr>
                <w:i/>
                <w:sz w:val="22"/>
                <w:szCs w:val="22"/>
              </w:rPr>
            </w:pPr>
            <w:r>
              <w:rPr>
                <w:i/>
                <w:sz w:val="22"/>
                <w:szCs w:val="22"/>
              </w:rPr>
              <w:t xml:space="preserve">(DE: Projektpartner, für den die Erklärung abgegeben wird | DK: Den </w:t>
            </w:r>
            <w:proofErr w:type="spellStart"/>
            <w:r>
              <w:rPr>
                <w:i/>
                <w:sz w:val="22"/>
                <w:szCs w:val="22"/>
              </w:rPr>
              <w:t>projektpartner</w:t>
            </w:r>
            <w:proofErr w:type="spellEnd"/>
            <w:r>
              <w:rPr>
                <w:i/>
                <w:sz w:val="22"/>
                <w:szCs w:val="22"/>
              </w:rPr>
              <w:t xml:space="preserve"> </w:t>
            </w:r>
            <w:proofErr w:type="spellStart"/>
            <w:r>
              <w:rPr>
                <w:i/>
                <w:sz w:val="22"/>
                <w:szCs w:val="22"/>
              </w:rPr>
              <w:t>som</w:t>
            </w:r>
            <w:proofErr w:type="spellEnd"/>
            <w:r>
              <w:rPr>
                <w:i/>
                <w:sz w:val="22"/>
                <w:szCs w:val="22"/>
              </w:rPr>
              <w:t xml:space="preserve"> </w:t>
            </w:r>
            <w:proofErr w:type="spellStart"/>
            <w:r>
              <w:rPr>
                <w:i/>
                <w:sz w:val="22"/>
                <w:szCs w:val="22"/>
              </w:rPr>
              <w:t>erklæringen</w:t>
            </w:r>
            <w:proofErr w:type="spellEnd"/>
            <w:r>
              <w:rPr>
                <w:i/>
                <w:sz w:val="22"/>
                <w:szCs w:val="22"/>
              </w:rPr>
              <w:t xml:space="preserve"> </w:t>
            </w:r>
            <w:proofErr w:type="spellStart"/>
            <w:r>
              <w:rPr>
                <w:i/>
                <w:sz w:val="22"/>
                <w:szCs w:val="22"/>
              </w:rPr>
              <w:t>omhandler</w:t>
            </w:r>
            <w:proofErr w:type="spellEnd"/>
            <w:r>
              <w:rPr>
                <w:i/>
                <w:sz w:val="22"/>
                <w:szCs w:val="22"/>
              </w:rPr>
              <w:t>)</w:t>
            </w:r>
          </w:p>
        </w:tc>
      </w:tr>
      <w:tr>
        <w:tc>
          <w:tcPr>
            <w:tcW w:w="4530" w:type="dxa"/>
          </w:tcPr>
          <w:p>
            <w:pPr>
              <w:pStyle w:val="Listenabsatz"/>
              <w:numPr>
                <w:ilvl w:val="0"/>
                <w:numId w:val="7"/>
              </w:numPr>
              <w:rPr>
                <w:sz w:val="22"/>
                <w:szCs w:val="22"/>
              </w:rPr>
            </w:pPr>
            <w:r>
              <w:rPr>
                <w:sz w:val="22"/>
                <w:szCs w:val="22"/>
              </w:rPr>
              <w:t xml:space="preserve">DE: Berichts- und Abrechnungszeitraum | DK: </w:t>
            </w:r>
            <w:proofErr w:type="spellStart"/>
            <w:r>
              <w:rPr>
                <w:sz w:val="22"/>
                <w:szCs w:val="22"/>
              </w:rPr>
              <w:t>Rapporterings</w:t>
            </w:r>
            <w:proofErr w:type="spellEnd"/>
            <w:r>
              <w:rPr>
                <w:sz w:val="22"/>
                <w:szCs w:val="22"/>
              </w:rPr>
              <w:t xml:space="preserve">- </w:t>
            </w:r>
            <w:proofErr w:type="spellStart"/>
            <w:r>
              <w:rPr>
                <w:sz w:val="22"/>
                <w:szCs w:val="22"/>
              </w:rPr>
              <w:t>og</w:t>
            </w:r>
            <w:proofErr w:type="spellEnd"/>
            <w:r>
              <w:rPr>
                <w:sz w:val="22"/>
                <w:szCs w:val="22"/>
              </w:rPr>
              <w:t xml:space="preserve"> </w:t>
            </w:r>
            <w:proofErr w:type="spellStart"/>
            <w:r>
              <w:rPr>
                <w:sz w:val="22"/>
                <w:szCs w:val="22"/>
              </w:rPr>
              <w:t>afregningsperiode</w:t>
            </w:r>
            <w:proofErr w:type="spellEnd"/>
          </w:p>
        </w:tc>
        <w:tc>
          <w:tcPr>
            <w:tcW w:w="4530" w:type="dxa"/>
          </w:tcPr>
          <w:p>
            <w:pPr>
              <w:rPr>
                <w:sz w:val="22"/>
                <w:szCs w:val="22"/>
              </w:rPr>
            </w:pPr>
            <w:proofErr w:type="spellStart"/>
            <w:r>
              <w:rPr>
                <w:sz w:val="22"/>
                <w:szCs w:val="22"/>
              </w:rPr>
              <w:t>xx.</w:t>
            </w:r>
            <w:proofErr w:type="gramStart"/>
            <w:r>
              <w:rPr>
                <w:sz w:val="22"/>
                <w:szCs w:val="22"/>
              </w:rPr>
              <w:t>xx.xxxx</w:t>
            </w:r>
            <w:proofErr w:type="gramEnd"/>
            <w:r>
              <w:rPr>
                <w:sz w:val="22"/>
                <w:szCs w:val="22"/>
              </w:rPr>
              <w:t>-xx.xx.xxxx</w:t>
            </w:r>
            <w:proofErr w:type="spellEnd"/>
          </w:p>
          <w:p>
            <w:pPr>
              <w:rPr>
                <w:i/>
                <w:sz w:val="22"/>
                <w:szCs w:val="22"/>
                <w:lang w:val="da-DK"/>
              </w:rPr>
            </w:pPr>
            <w:r>
              <w:rPr>
                <w:i/>
                <w:sz w:val="22"/>
                <w:szCs w:val="22"/>
              </w:rPr>
              <w:t xml:space="preserve">(DE: Der Zeitraum muss dem Zeitraum des Auszahlungsantrags entsprechen, zu dem die Erklärung abgegeben wird. </w:t>
            </w:r>
            <w:r>
              <w:rPr>
                <w:i/>
                <w:sz w:val="22"/>
                <w:szCs w:val="22"/>
                <w:lang w:val="da-DK"/>
              </w:rPr>
              <w:t>| DK: Perioden skal svare til perioden for den udbetalingsanmodning, som erklæringen omhandler.)</w:t>
            </w:r>
          </w:p>
        </w:tc>
      </w:tr>
      <w:bookmarkEnd w:id="0"/>
    </w:tbl>
    <w:p>
      <w:pPr>
        <w:pStyle w:val="Flietext"/>
        <w:rPr>
          <w:lang w:val="da-DK"/>
        </w:rPr>
      </w:pPr>
    </w:p>
    <w:p>
      <w:pPr>
        <w:pStyle w:val="Flietext"/>
        <w:pageBreakBefore/>
        <w:rPr>
          <w:lang w:val="da-DK"/>
        </w:rPr>
      </w:pPr>
    </w:p>
    <w:tbl>
      <w:tblPr>
        <w:tblStyle w:val="Tabellenraster"/>
        <w:tblW w:w="0" w:type="auto"/>
        <w:tblLook w:val="04A0" w:firstRow="1" w:lastRow="0" w:firstColumn="1" w:lastColumn="0" w:noHBand="0" w:noVBand="1"/>
      </w:tblPr>
      <w:tblGrid>
        <w:gridCol w:w="4530"/>
        <w:gridCol w:w="4530"/>
      </w:tblGrid>
      <w:tr>
        <w:tc>
          <w:tcPr>
            <w:tcW w:w="9060" w:type="dxa"/>
            <w:gridSpan w:val="2"/>
            <w:shd w:val="clear" w:color="auto" w:fill="D4EEF5"/>
          </w:tcPr>
          <w:p>
            <w:pPr>
              <w:rPr>
                <w:b/>
                <w:color w:val="auto"/>
                <w:sz w:val="22"/>
                <w:szCs w:val="22"/>
              </w:rPr>
            </w:pPr>
            <w:bookmarkStart w:id="2" w:name="_Toc95834105"/>
            <w:r>
              <w:rPr>
                <w:b/>
                <w:color w:val="auto"/>
                <w:sz w:val="22"/>
                <w:szCs w:val="22"/>
              </w:rPr>
              <w:t>DE: Entsprechend des Leadpartnervertrags Art. 2 Abs. 3 Satz 2 teilen wir mit |</w:t>
            </w:r>
          </w:p>
          <w:p>
            <w:pPr>
              <w:rPr>
                <w:b/>
                <w:color w:val="auto"/>
                <w:sz w:val="22"/>
                <w:szCs w:val="22"/>
                <w:lang w:val="da-DK"/>
              </w:rPr>
            </w:pPr>
            <w:r>
              <w:rPr>
                <w:b/>
                <w:color w:val="auto"/>
                <w:sz w:val="22"/>
                <w:szCs w:val="22"/>
                <w:lang w:val="da-DK"/>
              </w:rPr>
              <w:t xml:space="preserve">DK: I forhold til </w:t>
            </w:r>
            <w:proofErr w:type="spellStart"/>
            <w:r>
              <w:rPr>
                <w:b/>
                <w:color w:val="auto"/>
                <w:sz w:val="22"/>
                <w:szCs w:val="22"/>
                <w:lang w:val="da-DK"/>
              </w:rPr>
              <w:t>leadpartneraftalens</w:t>
            </w:r>
            <w:proofErr w:type="spellEnd"/>
            <w:r>
              <w:rPr>
                <w:b/>
                <w:color w:val="auto"/>
                <w:sz w:val="22"/>
                <w:szCs w:val="22"/>
                <w:lang w:val="da-DK"/>
              </w:rPr>
              <w:t xml:space="preserve"> art. 2, stk. 3, sætning 2 meddeler vi:</w:t>
            </w:r>
          </w:p>
          <w:p>
            <w:pPr>
              <w:rPr>
                <w:b/>
                <w:i/>
                <w:color w:val="auto"/>
                <w:sz w:val="22"/>
                <w:szCs w:val="22"/>
                <w:lang w:val="da-DK"/>
              </w:rPr>
            </w:pPr>
            <w:r>
              <w:rPr>
                <w:b/>
                <w:i/>
                <w:color w:val="auto"/>
                <w:sz w:val="22"/>
                <w:szCs w:val="22"/>
                <w:lang w:val="da-DK"/>
              </w:rPr>
              <w:t xml:space="preserve">(DE: </w:t>
            </w:r>
            <w:proofErr w:type="spellStart"/>
            <w:r>
              <w:rPr>
                <w:b/>
                <w:i/>
                <w:color w:val="auto"/>
                <w:sz w:val="22"/>
                <w:szCs w:val="22"/>
                <w:lang w:val="da-DK"/>
              </w:rPr>
              <w:t>Zutreffendes</w:t>
            </w:r>
            <w:proofErr w:type="spellEnd"/>
            <w:r>
              <w:rPr>
                <w:b/>
                <w:i/>
                <w:color w:val="auto"/>
                <w:sz w:val="22"/>
                <w:szCs w:val="22"/>
                <w:lang w:val="da-DK"/>
              </w:rPr>
              <w:t xml:space="preserve"> </w:t>
            </w:r>
            <w:proofErr w:type="spellStart"/>
            <w:r>
              <w:rPr>
                <w:b/>
                <w:i/>
                <w:color w:val="auto"/>
                <w:sz w:val="22"/>
                <w:szCs w:val="22"/>
                <w:lang w:val="da-DK"/>
              </w:rPr>
              <w:t>ankreuzen</w:t>
            </w:r>
            <w:proofErr w:type="spellEnd"/>
            <w:r>
              <w:rPr>
                <w:b/>
                <w:i/>
                <w:color w:val="auto"/>
                <w:sz w:val="22"/>
                <w:szCs w:val="22"/>
                <w:lang w:val="da-DK"/>
              </w:rPr>
              <w:t xml:space="preserve"> | DK: Afkryds relevante)</w:t>
            </w:r>
          </w:p>
        </w:tc>
      </w:tr>
      <w:tr>
        <w:tc>
          <w:tcPr>
            <w:tcW w:w="4530" w:type="dxa"/>
          </w:tcPr>
          <w:p>
            <w:pPr>
              <w:rPr>
                <w:sz w:val="22"/>
                <w:szCs w:val="22"/>
                <w:lang w:val="da-DK"/>
              </w:rPr>
            </w:pPr>
            <w:r>
              <w:rPr>
                <w:sz w:val="22"/>
                <w:szCs w:val="22"/>
              </w:rPr>
              <w:t xml:space="preserve">DE: Der unter 1.c benannte Projektpartner hat </w:t>
            </w:r>
            <w:r>
              <w:rPr>
                <w:b/>
                <w:sz w:val="22"/>
                <w:szCs w:val="22"/>
              </w:rPr>
              <w:t>zuvor keine Beihilfe</w:t>
            </w:r>
            <w:r>
              <w:rPr>
                <w:sz w:val="22"/>
                <w:szCs w:val="22"/>
              </w:rPr>
              <w:t xml:space="preserve"> erhalten, die von der Europäischen Kommission für </w:t>
            </w:r>
            <w:r>
              <w:rPr>
                <w:b/>
                <w:sz w:val="22"/>
                <w:szCs w:val="22"/>
              </w:rPr>
              <w:t>formell oder materiell rechtswidrig erklärt</w:t>
            </w:r>
            <w:r>
              <w:rPr>
                <w:sz w:val="22"/>
                <w:szCs w:val="22"/>
              </w:rPr>
              <w:t xml:space="preserve"> wurde und für die ein Rückforderungsbeschluss i. S. der Bekanntmachung der Kommission 2019/C 247/01 (</w:t>
            </w:r>
            <w:proofErr w:type="spellStart"/>
            <w:r>
              <w:rPr>
                <w:sz w:val="22"/>
                <w:szCs w:val="22"/>
              </w:rPr>
              <w:t>ABl.</w:t>
            </w:r>
            <w:proofErr w:type="spellEnd"/>
            <w:r>
              <w:rPr>
                <w:sz w:val="22"/>
                <w:szCs w:val="22"/>
              </w:rPr>
              <w:t xml:space="preserve"> </w:t>
            </w:r>
            <w:r>
              <w:rPr>
                <w:sz w:val="22"/>
                <w:szCs w:val="22"/>
                <w:lang w:val="da-DK"/>
              </w:rPr>
              <w:t xml:space="preserve">C 247, 23.07.2019, S. 1) </w:t>
            </w:r>
            <w:proofErr w:type="spellStart"/>
            <w:r>
              <w:rPr>
                <w:sz w:val="22"/>
                <w:szCs w:val="22"/>
                <w:lang w:val="da-DK"/>
              </w:rPr>
              <w:t>erlassen</w:t>
            </w:r>
            <w:proofErr w:type="spellEnd"/>
            <w:r>
              <w:rPr>
                <w:sz w:val="22"/>
                <w:szCs w:val="22"/>
                <w:lang w:val="da-DK"/>
              </w:rPr>
              <w:t xml:space="preserve"> </w:t>
            </w:r>
            <w:proofErr w:type="spellStart"/>
            <w:r>
              <w:rPr>
                <w:sz w:val="22"/>
                <w:szCs w:val="22"/>
                <w:lang w:val="da-DK"/>
              </w:rPr>
              <w:t>wurde</w:t>
            </w:r>
            <w:proofErr w:type="spellEnd"/>
            <w:r>
              <w:rPr>
                <w:sz w:val="22"/>
                <w:szCs w:val="22"/>
                <w:lang w:val="da-DK"/>
              </w:rPr>
              <w:t>. |</w:t>
            </w:r>
          </w:p>
          <w:p>
            <w:pPr>
              <w:rPr>
                <w:sz w:val="22"/>
                <w:szCs w:val="22"/>
                <w:lang w:val="da-DK"/>
              </w:rPr>
            </w:pPr>
            <w:r>
              <w:rPr>
                <w:sz w:val="22"/>
                <w:szCs w:val="22"/>
                <w:lang w:val="da-DK"/>
              </w:rPr>
              <w:t xml:space="preserve">DK: Den under 1.c nævnte projektpartner har </w:t>
            </w:r>
            <w:r>
              <w:rPr>
                <w:b/>
                <w:sz w:val="22"/>
                <w:szCs w:val="22"/>
                <w:lang w:val="da-DK"/>
              </w:rPr>
              <w:t>ikke tidligere</w:t>
            </w:r>
            <w:r>
              <w:rPr>
                <w:sz w:val="22"/>
                <w:szCs w:val="22"/>
                <w:lang w:val="da-DK"/>
              </w:rPr>
              <w:t xml:space="preserve"> modtaget </w:t>
            </w:r>
            <w:r>
              <w:rPr>
                <w:b/>
                <w:sz w:val="22"/>
                <w:szCs w:val="22"/>
                <w:lang w:val="da-DK"/>
              </w:rPr>
              <w:t>støtte</w:t>
            </w:r>
            <w:r>
              <w:rPr>
                <w:sz w:val="22"/>
                <w:szCs w:val="22"/>
                <w:lang w:val="da-DK"/>
              </w:rPr>
              <w:t xml:space="preserve">, der er blevet erklæret </w:t>
            </w:r>
            <w:r>
              <w:rPr>
                <w:b/>
                <w:sz w:val="22"/>
                <w:szCs w:val="22"/>
                <w:lang w:val="da-DK"/>
              </w:rPr>
              <w:t>formelt eller materielt ulovlig</w:t>
            </w:r>
            <w:r>
              <w:rPr>
                <w:sz w:val="22"/>
                <w:szCs w:val="22"/>
                <w:lang w:val="da-DK"/>
              </w:rPr>
              <w:t xml:space="preserve"> af Europa-Kommissionen, og for hvilken der er blevet udstedt en beslutning om tilbagebetaling i henhold til Kommissionens meddelelse 2019/C 247/01.</w:t>
            </w:r>
          </w:p>
        </w:tc>
        <w:tc>
          <w:tcPr>
            <w:tcW w:w="4530" w:type="dxa"/>
          </w:tcPr>
          <w:p>
            <w:pPr>
              <w:rPr>
                <w:sz w:val="22"/>
                <w:szCs w:val="22"/>
                <w:lang w:val="da-DK"/>
              </w:rPr>
            </w:pPr>
            <w:sdt>
              <w:sdtPr>
                <w:rPr>
                  <w:rFonts w:cstheme="minorHAnsi"/>
                  <w:bCs/>
                  <w:sz w:val="22"/>
                  <w:szCs w:val="22"/>
                </w:rPr>
                <w:id w:val="-762385804"/>
              </w:sdtPr>
              <w:sdtContent>
                <w:sdt>
                  <w:sdtPr>
                    <w:rPr>
                      <w:rFonts w:cstheme="minorHAnsi"/>
                      <w:b/>
                      <w:sz w:val="22"/>
                      <w:szCs w:val="22"/>
                      <w:lang w:val="da-DK"/>
                    </w:rPr>
                    <w:id w:val="-821045208"/>
                    <w14:checkbox>
                      <w14:checked w14:val="0"/>
                      <w14:checkedState w14:val="2612" w14:font="MS Gothic"/>
                      <w14:uncheckedState w14:val="2610" w14:font="MS Gothic"/>
                    </w14:checkbox>
                  </w:sdtPr>
                  <w:sdtContent>
                    <w:r>
                      <w:rPr>
                        <w:rFonts w:ascii="MS Gothic" w:eastAsia="MS Gothic" w:hAnsi="MS Gothic" w:cstheme="minorHAnsi" w:hint="eastAsia"/>
                        <w:b/>
                        <w:sz w:val="22"/>
                        <w:szCs w:val="22"/>
                        <w:lang w:val="da-DK"/>
                      </w:rPr>
                      <w:t>☐</w:t>
                    </w:r>
                  </w:sdtContent>
                </w:sdt>
              </w:sdtContent>
            </w:sdt>
          </w:p>
        </w:tc>
      </w:tr>
      <w:tr>
        <w:tc>
          <w:tcPr>
            <w:tcW w:w="4530" w:type="dxa"/>
          </w:tcPr>
          <w:p>
            <w:pPr>
              <w:rPr>
                <w:sz w:val="22"/>
                <w:szCs w:val="22"/>
              </w:rPr>
            </w:pPr>
            <w:r>
              <w:rPr>
                <w:sz w:val="22"/>
                <w:szCs w:val="22"/>
              </w:rPr>
              <w:t>DE: Der unter 1.c benannte Projektpartner hat zuvor Beihilfe erhalten, die von der Europäischen Kommission für formell oder materiell rechtswidrig erklärt wurde und für die ein Rückforderungsbeschluss i. S. der Bekanntmachung der Kommission 2019/C 247/01 (</w:t>
            </w:r>
            <w:proofErr w:type="spellStart"/>
            <w:r>
              <w:rPr>
                <w:sz w:val="22"/>
                <w:szCs w:val="22"/>
              </w:rPr>
              <w:t>ABl.</w:t>
            </w:r>
            <w:proofErr w:type="spellEnd"/>
            <w:r>
              <w:rPr>
                <w:sz w:val="22"/>
                <w:szCs w:val="22"/>
              </w:rPr>
              <w:t xml:space="preserve"> C 247, 23.07.2019, S. 1) erlassen wurde.</w:t>
            </w:r>
          </w:p>
          <w:p>
            <w:pPr>
              <w:rPr>
                <w:sz w:val="22"/>
                <w:szCs w:val="22"/>
                <w:lang w:val="da-DK"/>
              </w:rPr>
            </w:pPr>
            <w:r>
              <w:rPr>
                <w:sz w:val="22"/>
                <w:szCs w:val="22"/>
              </w:rPr>
              <w:t xml:space="preserve">In Umsetzung des Rückforderungsbeschlusses der Europäischen Kommission wurde die Beihilfe </w:t>
            </w:r>
            <w:r>
              <w:rPr>
                <w:b/>
                <w:sz w:val="22"/>
                <w:szCs w:val="22"/>
              </w:rPr>
              <w:t>vollständig und verzinst</w:t>
            </w:r>
            <w:r>
              <w:rPr>
                <w:sz w:val="22"/>
                <w:szCs w:val="22"/>
              </w:rPr>
              <w:t xml:space="preserve"> zum Referenzzins, der für die Berechnung des Subventionsäquivalents von Beihilfen verwendet wird, </w:t>
            </w:r>
            <w:r>
              <w:rPr>
                <w:b/>
                <w:sz w:val="22"/>
                <w:szCs w:val="22"/>
              </w:rPr>
              <w:t>zurückgezahlt oder auf ein Sperrkonto eingezahlt</w:t>
            </w:r>
            <w:r>
              <w:rPr>
                <w:sz w:val="22"/>
                <w:szCs w:val="22"/>
              </w:rPr>
              <w:t xml:space="preserve">. </w:t>
            </w:r>
            <w:r>
              <w:rPr>
                <w:sz w:val="22"/>
                <w:szCs w:val="22"/>
                <w:lang w:val="da-DK"/>
              </w:rPr>
              <w:t>|</w:t>
            </w:r>
          </w:p>
          <w:p>
            <w:pPr>
              <w:rPr>
                <w:sz w:val="22"/>
                <w:szCs w:val="22"/>
                <w:lang w:val="da-DK"/>
              </w:rPr>
            </w:pPr>
            <w:r>
              <w:rPr>
                <w:sz w:val="22"/>
                <w:szCs w:val="22"/>
                <w:lang w:val="da-DK"/>
              </w:rPr>
              <w:t>DK: Den under 1.c nævnte projektpartner har tidligere modtaget støtte, der er blevet erklæret formelt eller materielt ulovlig af Europa-Kommissionen, og for hvilken der er blevet udstedt en beslutning om tilbagebetaling i henhold til Kommissionens meddelelse 2019/C 247/01.</w:t>
            </w:r>
          </w:p>
          <w:p>
            <w:pPr>
              <w:rPr>
                <w:sz w:val="22"/>
                <w:szCs w:val="22"/>
                <w:lang w:val="da-DK"/>
              </w:rPr>
            </w:pPr>
            <w:r>
              <w:rPr>
                <w:sz w:val="22"/>
                <w:szCs w:val="22"/>
                <w:lang w:val="da-DK"/>
              </w:rPr>
              <w:t xml:space="preserve">Ved udførelsen af Europa-Kommissionens beslutning om tilbagebetaling blev der foretaget en </w:t>
            </w:r>
            <w:r>
              <w:rPr>
                <w:b/>
                <w:sz w:val="22"/>
                <w:szCs w:val="22"/>
                <w:lang w:val="da-DK"/>
              </w:rPr>
              <w:t>fuldstændig tilbagebetaling eller indbetaling på en spærret konto</w:t>
            </w:r>
            <w:r>
              <w:rPr>
                <w:sz w:val="22"/>
                <w:szCs w:val="22"/>
                <w:lang w:val="da-DK"/>
              </w:rPr>
              <w:t xml:space="preserve"> af støtten </w:t>
            </w:r>
            <w:r>
              <w:rPr>
                <w:b/>
                <w:sz w:val="22"/>
                <w:szCs w:val="22"/>
                <w:lang w:val="da-DK"/>
              </w:rPr>
              <w:t>samt en rente</w:t>
            </w:r>
            <w:r>
              <w:rPr>
                <w:sz w:val="22"/>
                <w:szCs w:val="22"/>
                <w:lang w:val="da-DK"/>
              </w:rPr>
              <w:t xml:space="preserve"> i henhold til referencerentesatsen, som anvendes ved beregningen af subventionsækvivalenten i forbindelse med støtte.</w:t>
            </w:r>
          </w:p>
        </w:tc>
        <w:tc>
          <w:tcPr>
            <w:tcW w:w="4530" w:type="dxa"/>
          </w:tcPr>
          <w:p>
            <w:pPr>
              <w:rPr>
                <w:sz w:val="22"/>
                <w:szCs w:val="22"/>
              </w:rPr>
            </w:pPr>
            <w:r>
              <w:rPr>
                <w:sz w:val="22"/>
                <w:szCs w:val="22"/>
              </w:rPr>
              <w:t xml:space="preserve">zurückgezahlt | tilbagebetalt: </w:t>
            </w:r>
            <w:sdt>
              <w:sdtPr>
                <w:rPr>
                  <w:rFonts w:cstheme="minorHAnsi"/>
                  <w:b/>
                  <w:sz w:val="22"/>
                  <w:szCs w:val="22"/>
                </w:rPr>
                <w:id w:val="1683394873"/>
                <w14:checkbox>
                  <w14:checked w14:val="0"/>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p>
            <w:pPr>
              <w:rPr>
                <w:sz w:val="22"/>
                <w:szCs w:val="22"/>
              </w:rPr>
            </w:pPr>
          </w:p>
          <w:p>
            <w:pPr>
              <w:rPr>
                <w:sz w:val="22"/>
                <w:szCs w:val="22"/>
              </w:rPr>
            </w:pPr>
            <w:r>
              <w:rPr>
                <w:sz w:val="22"/>
                <w:szCs w:val="22"/>
              </w:rPr>
              <w:t xml:space="preserve">auf Sperrkonto eingezahlt | Indbetalt på spærret konto: </w:t>
            </w:r>
            <w:sdt>
              <w:sdtPr>
                <w:rPr>
                  <w:rFonts w:cstheme="minorHAnsi"/>
                  <w:b/>
                  <w:sz w:val="22"/>
                  <w:szCs w:val="22"/>
                </w:rPr>
                <w:id w:val="-96710520"/>
                <w14:checkbox>
                  <w14:checked w14:val="0"/>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p>
            <w:pPr>
              <w:rPr>
                <w:sz w:val="22"/>
                <w:szCs w:val="22"/>
              </w:rPr>
            </w:pPr>
          </w:p>
          <w:p>
            <w:pPr>
              <w:rPr>
                <w:sz w:val="22"/>
                <w:szCs w:val="22"/>
              </w:rPr>
            </w:pPr>
            <w:r>
              <w:rPr>
                <w:sz w:val="22"/>
                <w:szCs w:val="22"/>
              </w:rPr>
              <w:t xml:space="preserve">Zum Nachweis werden folgende Dokumente eingereicht | </w:t>
            </w:r>
            <w:proofErr w:type="spellStart"/>
            <w:r>
              <w:rPr>
                <w:sz w:val="22"/>
                <w:szCs w:val="22"/>
              </w:rPr>
              <w:t>Følgende</w:t>
            </w:r>
            <w:proofErr w:type="spellEnd"/>
            <w:r>
              <w:rPr>
                <w:sz w:val="22"/>
                <w:szCs w:val="22"/>
              </w:rPr>
              <w:t xml:space="preserve"> </w:t>
            </w:r>
            <w:proofErr w:type="spellStart"/>
            <w:r>
              <w:rPr>
                <w:sz w:val="22"/>
                <w:szCs w:val="22"/>
              </w:rPr>
              <w:t>dokumenter</w:t>
            </w:r>
            <w:proofErr w:type="spellEnd"/>
            <w:r>
              <w:rPr>
                <w:sz w:val="22"/>
                <w:szCs w:val="22"/>
              </w:rPr>
              <w:t xml:space="preserve"> </w:t>
            </w:r>
            <w:proofErr w:type="spellStart"/>
            <w:r>
              <w:rPr>
                <w:sz w:val="22"/>
                <w:szCs w:val="22"/>
              </w:rPr>
              <w:t>indsendes</w:t>
            </w:r>
            <w:proofErr w:type="spellEnd"/>
            <w:r>
              <w:rPr>
                <w:sz w:val="22"/>
                <w:szCs w:val="22"/>
              </w:rPr>
              <w:t xml:space="preserve"> </w:t>
            </w:r>
            <w:proofErr w:type="spellStart"/>
            <w:r>
              <w:rPr>
                <w:sz w:val="22"/>
                <w:szCs w:val="22"/>
              </w:rPr>
              <w:t>som</w:t>
            </w:r>
            <w:proofErr w:type="spellEnd"/>
            <w:r>
              <w:rPr>
                <w:sz w:val="22"/>
                <w:szCs w:val="22"/>
              </w:rPr>
              <w:t xml:space="preserve"> </w:t>
            </w:r>
            <w:proofErr w:type="spellStart"/>
            <w:r>
              <w:rPr>
                <w:sz w:val="22"/>
                <w:szCs w:val="22"/>
              </w:rPr>
              <w:t>dokumentation</w:t>
            </w:r>
            <w:proofErr w:type="spellEnd"/>
            <w:r>
              <w:rPr>
                <w:sz w:val="22"/>
                <w:szCs w:val="22"/>
              </w:rPr>
              <w:t>:</w:t>
            </w:r>
          </w:p>
          <w:p>
            <w:pPr>
              <w:rPr>
                <w:sz w:val="22"/>
                <w:szCs w:val="22"/>
              </w:rPr>
            </w:pPr>
            <w:r>
              <w:rPr>
                <w:rFonts w:cstheme="minorHAnsi"/>
                <w:b/>
                <w:bCs/>
              </w:rPr>
              <w:fldChar w:fldCharType="begin">
                <w:ffData>
                  <w:name w:val="Tekst3"/>
                  <w:enabled/>
                  <w:calcOnExit w:val="0"/>
                  <w:textInput/>
                </w:ffData>
              </w:fldChar>
            </w:r>
            <w:r>
              <w:rPr>
                <w:rFonts w:cstheme="minorHAnsi"/>
                <w:b/>
                <w:bCs/>
              </w:rPr>
              <w:instrText xml:space="preserve"> FORMTEXT </w:instrText>
            </w:r>
            <w:r>
              <w:rPr>
                <w:rFonts w:cstheme="minorHAnsi"/>
                <w:b/>
                <w:bCs/>
              </w:rPr>
            </w:r>
            <w:r>
              <w:rPr>
                <w:rFonts w:cstheme="minorHAnsi"/>
                <w:b/>
                <w:bCs/>
              </w:rPr>
              <w:fldChar w:fldCharType="separate"/>
            </w:r>
            <w:r>
              <w:rPr>
                <w:rFonts w:cstheme="minorHAnsi"/>
                <w:b/>
                <w:bCs/>
              </w:rPr>
              <w:t> </w:t>
            </w:r>
            <w:r>
              <w:rPr>
                <w:rFonts w:cstheme="minorHAnsi"/>
                <w:b/>
                <w:bCs/>
              </w:rPr>
              <w:t> </w:t>
            </w:r>
            <w:r>
              <w:rPr>
                <w:rFonts w:cstheme="minorHAnsi"/>
                <w:b/>
                <w:bCs/>
              </w:rPr>
              <w:t> </w:t>
            </w:r>
            <w:r>
              <w:rPr>
                <w:rFonts w:cstheme="minorHAnsi"/>
                <w:b/>
                <w:bCs/>
              </w:rPr>
              <w:t> </w:t>
            </w:r>
            <w:r>
              <w:rPr>
                <w:rFonts w:cstheme="minorHAnsi"/>
                <w:b/>
                <w:bCs/>
              </w:rPr>
              <w:t> </w:t>
            </w:r>
            <w:r>
              <w:rPr>
                <w:rFonts w:cstheme="minorHAnsi"/>
                <w:bCs/>
              </w:rPr>
              <w:fldChar w:fldCharType="end"/>
            </w:r>
          </w:p>
          <w:p>
            <w:pPr>
              <w:rPr>
                <w:sz w:val="22"/>
                <w:szCs w:val="22"/>
              </w:rPr>
            </w:pPr>
          </w:p>
        </w:tc>
      </w:tr>
      <w:tr>
        <w:tc>
          <w:tcPr>
            <w:tcW w:w="4530" w:type="dxa"/>
            <w:shd w:val="clear" w:color="auto" w:fill="auto"/>
          </w:tcPr>
          <w:p>
            <w:pPr>
              <w:rPr>
                <w:sz w:val="22"/>
                <w:szCs w:val="22"/>
              </w:rPr>
            </w:pPr>
            <w:r>
              <w:rPr>
                <w:sz w:val="22"/>
                <w:szCs w:val="22"/>
              </w:rPr>
              <w:lastRenderedPageBreak/>
              <w:t>DE: Der unter 1.c benannte Projektpartner hat zuvor Beihilfe erhalten, die von der Europäischen Kommission für formell oder materiell rechtswidrig erklärt wurde und für die ein Rückforderungsbeschluss i. S. der Bekanntmachung der Kommission 2019/C 247/01 (</w:t>
            </w:r>
            <w:proofErr w:type="spellStart"/>
            <w:r>
              <w:rPr>
                <w:sz w:val="22"/>
                <w:szCs w:val="22"/>
              </w:rPr>
              <w:t>ABl.</w:t>
            </w:r>
            <w:proofErr w:type="spellEnd"/>
            <w:r>
              <w:rPr>
                <w:sz w:val="22"/>
                <w:szCs w:val="22"/>
              </w:rPr>
              <w:t xml:space="preserve"> C 247, 23.07.2019, S. 1) erlassen wurde.</w:t>
            </w:r>
          </w:p>
          <w:p>
            <w:pPr>
              <w:rPr>
                <w:sz w:val="22"/>
                <w:szCs w:val="22"/>
              </w:rPr>
            </w:pPr>
            <w:r>
              <w:rPr>
                <w:sz w:val="22"/>
                <w:szCs w:val="22"/>
              </w:rPr>
              <w:t xml:space="preserve">Die Beihilfe wurde bislang </w:t>
            </w:r>
            <w:r>
              <w:rPr>
                <w:b/>
                <w:sz w:val="22"/>
                <w:szCs w:val="22"/>
              </w:rPr>
              <w:t xml:space="preserve">nicht </w:t>
            </w:r>
            <w:r>
              <w:rPr>
                <w:sz w:val="22"/>
                <w:szCs w:val="22"/>
              </w:rPr>
              <w:t xml:space="preserve">vollständig und verzinst zum Referenzzins, der für die Berechnung des Subventionsäquivalents von Beihilfen verwendet wird, </w:t>
            </w:r>
            <w:r>
              <w:rPr>
                <w:b/>
                <w:sz w:val="22"/>
                <w:szCs w:val="22"/>
              </w:rPr>
              <w:t>zurückgezahlt oder auf ein Sperrkonto eingezahlt</w:t>
            </w:r>
            <w:r>
              <w:rPr>
                <w:sz w:val="22"/>
                <w:szCs w:val="22"/>
              </w:rPr>
              <w:t>.</w:t>
            </w:r>
          </w:p>
          <w:p>
            <w:pPr>
              <w:rPr>
                <w:sz w:val="22"/>
                <w:szCs w:val="22"/>
                <w:lang w:val="da-DK"/>
              </w:rPr>
            </w:pPr>
            <w:r>
              <w:rPr>
                <w:i/>
                <w:sz w:val="22"/>
                <w:szCs w:val="22"/>
              </w:rPr>
              <w:t>(Die IB.SH wird die Zuschussanteile für den Projektpartner in diesem Fall nicht auszahlen.)</w:t>
            </w:r>
            <w:r>
              <w:rPr>
                <w:sz w:val="22"/>
                <w:szCs w:val="22"/>
              </w:rPr>
              <w:t xml:space="preserve"> </w:t>
            </w:r>
            <w:r>
              <w:rPr>
                <w:sz w:val="22"/>
                <w:szCs w:val="22"/>
                <w:lang w:val="da-DK"/>
              </w:rPr>
              <w:t>|</w:t>
            </w:r>
          </w:p>
          <w:p>
            <w:pPr>
              <w:rPr>
                <w:sz w:val="22"/>
                <w:szCs w:val="22"/>
                <w:lang w:val="da-DK"/>
              </w:rPr>
            </w:pPr>
            <w:r>
              <w:rPr>
                <w:sz w:val="22"/>
                <w:szCs w:val="22"/>
                <w:lang w:val="da-DK"/>
              </w:rPr>
              <w:t xml:space="preserve">DK: Den under 1.c nævnte projektpartner har tidligere modtaget støtte, der er blevet erklæret formelt eller materielt ulovlig af Europa-Kommissionen, og for hvilken der er blevet udstedt en beslutning om tilbagebetaling i henhold til Kommissionens meddelelse 2019/C 247/01. </w:t>
            </w:r>
          </w:p>
          <w:p>
            <w:pPr>
              <w:rPr>
                <w:sz w:val="22"/>
                <w:szCs w:val="22"/>
                <w:lang w:val="da-DK"/>
              </w:rPr>
            </w:pPr>
            <w:r>
              <w:rPr>
                <w:sz w:val="22"/>
                <w:szCs w:val="22"/>
                <w:lang w:val="da-DK"/>
              </w:rPr>
              <w:t xml:space="preserve">Der er hidtil </w:t>
            </w:r>
            <w:r>
              <w:rPr>
                <w:b/>
                <w:sz w:val="22"/>
                <w:szCs w:val="22"/>
                <w:lang w:val="da-DK"/>
              </w:rPr>
              <w:t xml:space="preserve">ikke </w:t>
            </w:r>
            <w:r>
              <w:rPr>
                <w:sz w:val="22"/>
                <w:szCs w:val="22"/>
                <w:lang w:val="da-DK"/>
              </w:rPr>
              <w:t xml:space="preserve">blevet foretaget en fuldstændig </w:t>
            </w:r>
            <w:r>
              <w:rPr>
                <w:b/>
                <w:sz w:val="22"/>
                <w:szCs w:val="22"/>
                <w:lang w:val="da-DK"/>
              </w:rPr>
              <w:t>tilbagebetaling eller indbetaling på en spærret konto</w:t>
            </w:r>
            <w:r>
              <w:rPr>
                <w:sz w:val="22"/>
                <w:szCs w:val="22"/>
                <w:lang w:val="da-DK"/>
              </w:rPr>
              <w:t xml:space="preserve"> af støtten samt en rente i henhold til referencerentesatsen, som anvendes ved beregningen af subventionsækvivalenten i forbindelse med støtte. </w:t>
            </w:r>
          </w:p>
          <w:p>
            <w:pPr>
              <w:rPr>
                <w:sz w:val="22"/>
                <w:szCs w:val="22"/>
                <w:lang w:val="da-DK"/>
              </w:rPr>
            </w:pPr>
            <w:r>
              <w:rPr>
                <w:sz w:val="22"/>
                <w:szCs w:val="22"/>
                <w:lang w:val="da-DK"/>
              </w:rPr>
              <w:t>(</w:t>
            </w:r>
            <w:r>
              <w:rPr>
                <w:i/>
                <w:sz w:val="22"/>
                <w:szCs w:val="22"/>
                <w:lang w:val="da-DK"/>
              </w:rPr>
              <w:t>IB.SH kommer i dette tilfælde ikke til at udbetale projektpartnerens tilskudsandele.</w:t>
            </w:r>
            <w:r>
              <w:rPr>
                <w:sz w:val="22"/>
                <w:szCs w:val="22"/>
                <w:lang w:val="da-DK"/>
              </w:rPr>
              <w:t>)</w:t>
            </w:r>
          </w:p>
        </w:tc>
        <w:tc>
          <w:tcPr>
            <w:tcW w:w="4530" w:type="dxa"/>
          </w:tcPr>
          <w:p>
            <w:pPr>
              <w:rPr>
                <w:i/>
                <w:sz w:val="22"/>
                <w:szCs w:val="22"/>
              </w:rPr>
            </w:pPr>
            <w:sdt>
              <w:sdtPr>
                <w:rPr>
                  <w:rFonts w:cstheme="minorHAnsi"/>
                  <w:b/>
                  <w:sz w:val="22"/>
                  <w:szCs w:val="22"/>
                </w:rPr>
                <w:id w:val="1401092754"/>
                <w14:checkbox>
                  <w14:checked w14:val="0"/>
                  <w14:checkedState w14:val="2612" w14:font="MS Gothic"/>
                  <w14:uncheckedState w14:val="2610" w14:font="MS Gothic"/>
                </w14:checkbox>
              </w:sdtPr>
              <w:sdtContent>
                <w:r>
                  <w:rPr>
                    <w:rFonts w:ascii="MS Gothic" w:eastAsia="MS Gothic" w:hAnsi="MS Gothic" w:cstheme="minorHAnsi" w:hint="eastAsia"/>
                    <w:b/>
                    <w:sz w:val="22"/>
                    <w:szCs w:val="22"/>
                  </w:rPr>
                  <w:t>☐</w:t>
                </w:r>
              </w:sdtContent>
            </w:sdt>
          </w:p>
        </w:tc>
      </w:tr>
      <w:bookmarkEnd w:id="2"/>
    </w:tbl>
    <w:p>
      <w:pPr>
        <w:pStyle w:val="Flietext"/>
      </w:pPr>
    </w:p>
    <w:p>
      <w:pPr>
        <w:pStyle w:val="Flietext"/>
      </w:pPr>
      <w:r>
        <w:t>Datum | Dato:</w:t>
      </w:r>
    </w:p>
    <w:p>
      <w:pPr>
        <w:pStyle w:val="Flietext"/>
      </w:pPr>
    </w:p>
    <w:p>
      <w:pPr>
        <w:pStyle w:val="Flietext"/>
      </w:pPr>
      <w:r>
        <w:t>Für den Leadpartner |</w:t>
      </w:r>
      <w:r>
        <w:tab/>
      </w:r>
      <w:r>
        <w:tab/>
      </w:r>
      <w:r>
        <w:tab/>
      </w:r>
      <w:r>
        <w:tab/>
      </w:r>
      <w:r>
        <w:tab/>
        <w:t>Für den Projektpartner |</w:t>
      </w:r>
    </w:p>
    <w:p>
      <w:pPr>
        <w:pStyle w:val="Flietext"/>
        <w:rPr>
          <w:lang w:val="da-DK"/>
        </w:rPr>
      </w:pPr>
      <w:r>
        <w:rPr>
          <w:lang w:val="da-DK"/>
        </w:rPr>
        <w:t xml:space="preserve">For </w:t>
      </w:r>
      <w:proofErr w:type="spellStart"/>
      <w:r>
        <w:rPr>
          <w:lang w:val="da-DK"/>
        </w:rPr>
        <w:t>leadpartneren</w:t>
      </w:r>
      <w:proofErr w:type="spellEnd"/>
      <w:r>
        <w:rPr>
          <w:lang w:val="da-DK"/>
        </w:rPr>
        <w:tab/>
      </w:r>
      <w:r>
        <w:rPr>
          <w:lang w:val="da-DK"/>
        </w:rPr>
        <w:tab/>
      </w:r>
      <w:r>
        <w:rPr>
          <w:lang w:val="da-DK"/>
        </w:rPr>
        <w:tab/>
      </w:r>
      <w:r>
        <w:rPr>
          <w:lang w:val="da-DK"/>
        </w:rPr>
        <w:tab/>
      </w:r>
      <w:r>
        <w:rPr>
          <w:lang w:val="da-DK"/>
        </w:rPr>
        <w:tab/>
        <w:t>For projektpartneren</w:t>
      </w:r>
    </w:p>
    <w:p>
      <w:pPr>
        <w:pStyle w:val="Flietext"/>
        <w:rPr>
          <w:lang w:val="da-DK"/>
        </w:rPr>
      </w:pPr>
    </w:p>
    <w:p>
      <w:pPr>
        <w:pStyle w:val="Flietext"/>
        <w:rPr>
          <w:lang w:val="da-DK"/>
        </w:rPr>
      </w:pPr>
    </w:p>
    <w:p>
      <w:pPr>
        <w:pStyle w:val="Flietext"/>
        <w:rPr>
          <w:lang w:val="da-DK"/>
        </w:rPr>
      </w:pPr>
      <w:r>
        <w:rPr>
          <w:lang w:val="da-DK"/>
        </w:rPr>
        <w:t>_______________________</w:t>
      </w:r>
      <w:r>
        <w:rPr>
          <w:lang w:val="da-DK"/>
        </w:rPr>
        <w:tab/>
      </w:r>
      <w:r>
        <w:rPr>
          <w:lang w:val="da-DK"/>
        </w:rPr>
        <w:tab/>
      </w:r>
      <w:r>
        <w:rPr>
          <w:lang w:val="da-DK"/>
        </w:rPr>
        <w:tab/>
      </w:r>
      <w:r>
        <w:rPr>
          <w:lang w:val="da-DK"/>
        </w:rPr>
        <w:tab/>
        <w:t>________________________</w:t>
      </w:r>
    </w:p>
    <w:p>
      <w:pPr>
        <w:pStyle w:val="Flietext"/>
        <w:rPr>
          <w:lang w:val="da-DK"/>
        </w:rPr>
      </w:pPr>
      <w:proofErr w:type="spellStart"/>
      <w:r>
        <w:rPr>
          <w:lang w:val="da-DK"/>
        </w:rPr>
        <w:t>Name</w:t>
      </w:r>
      <w:proofErr w:type="spellEnd"/>
      <w:r>
        <w:rPr>
          <w:lang w:val="da-DK"/>
        </w:rPr>
        <w:t xml:space="preserve"> </w:t>
      </w:r>
      <w:r>
        <w:rPr>
          <w:szCs w:val="22"/>
          <w:lang w:val="da-DK"/>
        </w:rPr>
        <w:t xml:space="preserve">| Navn </w:t>
      </w:r>
      <w:r>
        <w:rPr>
          <w:lang w:val="da-DK"/>
        </w:rPr>
        <w:t>/ Funktion</w:t>
      </w:r>
      <w:r>
        <w:rPr>
          <w:lang w:val="da-DK"/>
        </w:rPr>
        <w:tab/>
      </w:r>
      <w:r>
        <w:rPr>
          <w:lang w:val="da-DK"/>
        </w:rPr>
        <w:tab/>
      </w:r>
      <w:r>
        <w:rPr>
          <w:lang w:val="da-DK"/>
        </w:rPr>
        <w:tab/>
      </w:r>
      <w:r>
        <w:rPr>
          <w:lang w:val="da-DK"/>
        </w:rPr>
        <w:tab/>
      </w:r>
      <w:proofErr w:type="spellStart"/>
      <w:r>
        <w:rPr>
          <w:lang w:val="da-DK"/>
        </w:rPr>
        <w:t>Name</w:t>
      </w:r>
      <w:proofErr w:type="spellEnd"/>
      <w:r>
        <w:rPr>
          <w:lang w:val="da-DK"/>
        </w:rPr>
        <w:t xml:space="preserve"> </w:t>
      </w:r>
      <w:r>
        <w:rPr>
          <w:szCs w:val="22"/>
          <w:lang w:val="da-DK"/>
        </w:rPr>
        <w:t xml:space="preserve">| Navn </w:t>
      </w:r>
      <w:r>
        <w:rPr>
          <w:lang w:val="da-DK"/>
        </w:rPr>
        <w:t>/ Funktion</w:t>
      </w:r>
    </w:p>
    <w:p>
      <w:pPr>
        <w:pStyle w:val="Flietext"/>
        <w:rPr>
          <w:lang w:val="da-DK"/>
        </w:rPr>
      </w:pPr>
    </w:p>
    <w:sectPr>
      <w:headerReference w:type="default" r:id="rId8"/>
      <w:footerReference w:type="even" r:id="rId9"/>
      <w:footerReference w:type="default" r:id="rId10"/>
      <w:headerReference w:type="first" r:id="rId11"/>
      <w:footerReference w:type="first" r:id="rId12"/>
      <w:pgSz w:w="11906" w:h="16838"/>
      <w:pgMar w:top="1429" w:right="1418" w:bottom="1134" w:left="1418" w:header="709" w:footer="709" w:gutter="0"/>
      <w:cols w:space="6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462971909"/>
      <w:docPartObj>
        <w:docPartGallery w:val="Page Numbers (Bottom of Page)"/>
        <w:docPartUnique/>
      </w:docPartObj>
    </w:sdtPr>
    <w:sdtContent>
      <w:p>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96584956"/>
      <w:docPartObj>
        <w:docPartGallery w:val="Page Numbers (Bottom of Page)"/>
        <w:docPartUnique/>
      </w:docPartObj>
    </w:sdtPr>
    <w:sdtEndPr>
      <w:rPr>
        <w:rStyle w:val="Seitenzahl"/>
        <w:sz w:val="20"/>
        <w:szCs w:val="20"/>
      </w:rPr>
    </w:sdtEndPr>
    <w:sdtContent>
      <w:p>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pPr>
      <w:pStyle w:val="Fuzeile"/>
      <w:ind w:right="360"/>
      <w:rPr>
        <w:sz w:val="16"/>
        <w:szCs w:val="16"/>
      </w:rPr>
    </w:pPr>
    <w:r>
      <w:rPr>
        <w:noProof/>
        <w:sz w:val="16"/>
        <w:szCs w:val="16"/>
        <w:lang w:eastAsia="de-DE"/>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-66419</wp:posOffset>
              </wp:positionV>
              <wp:extent cx="1657761" cy="33401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657761" cy="334010"/>
                      </a:xfrm>
                      <a:prstGeom prst="rect">
                        <a:avLst/>
                      </a:prstGeom>
                      <a:noFill/>
                      <a:ln w="6350">
                        <a:noFill/>
                      </a:ln>
                    </wps:spPr>
                    <wps:txbx>
                      <w:txbxContent>
                        <w:p>
                          <w:pPr>
                            <w:ind w:left="-142"/>
                            <w:rPr>
                              <w:sz w:val="20"/>
                              <w:szCs w:val="20"/>
                            </w:rPr>
                          </w:pPr>
                          <w:r>
                            <w:rPr>
                              <w:sz w:val="20"/>
                              <w:szCs w:val="20"/>
                            </w:rPr>
                            <w:t>Version 1 – August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1" o:spid="_x0000_s1027" type="#_x0000_t202" style="position:absolute;margin-left:0;margin-top:-5.25pt;width:130.55pt;height:2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" filled="f" stroked="f" strokeweight=".5pt">
              <v:textbox>
                <w:txbxContent>
                  <w:p>
                    <w:pPr>
                      <w:ind w:left="-142"/>
                      <w:rPr>
                        <w:sz w:val="20"/>
                        <w:szCs w:val="20"/>
                      </w:rPr>
                    </w:pPr>
                    <w:r>
                      <w:rPr>
                        <w:sz w:val="20"/>
                        <w:szCs w:val="20"/>
                      </w:rPr>
                      <w:t>Version 1 – August 2023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1336379546"/>
      <w:docPartObj>
        <w:docPartGallery w:val="Page Numbers (Bottom of Page)"/>
        <w:docPartUnique/>
      </w:docPartObj>
    </w:sdtPr>
    <w:sdtContent>
      <w:p>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pPr>
      <w:pStyle w:val="Fuzeile"/>
      <w:ind w:right="36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dekorativ" style="position:absolute;margin-left:-70.9pt;margin-top:48.45pt;width:1093.95pt;height:14.15pt;z-index:-251631616;mso-position-horizontal-relative:text;mso-position-vertical-relative:text" wrapcoords="-36 0 -36 18900 21600 18900 21600 0 -36 0">
          <v:imagedata r:id="rId1" o:title="INT_Briefpapier_vektor2"/>
          <w10:wrap type="tight"/>
        </v:shape>
      </w:pict>
    </w:r>
    <w:r>
      <w:rPr>
        <w:noProof/>
        <w:sz w:val="16"/>
        <w:szCs w:val="16"/>
        <w:lang w:eastAsia="de-DE"/>
      </w:rPr>
      <mc:AlternateContent>
        <mc:Choice Requires="wps">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657761" cy="334010"/>
              <wp:effectExtent l="0" t="0" r="0" b="0"/>
              <wp:wrapNone/>
              <wp:docPr id="21" name="Textfeld 21"/>
              <wp:cNvGraphicFramePr/>
              <a:graphic xmlns:a="http://schemas.openxmlformats.org/drawingml/2006/main">
                <a:graphicData uri="http://schemas.microsoft.com/office/word/2010/wordprocessingShape">
                  <wps:wsp>
                    <wps:cNvSpPr txBox="1"/>
                    <wps:spPr>
                      <a:xfrm>
                        <a:off x="0" y="0"/>
                        <a:ext cx="1657761" cy="334010"/>
                      </a:xfrm>
                      <a:prstGeom prst="rect">
                        <a:avLst/>
                      </a:prstGeom>
                      <a:noFill/>
                      <a:ln w="6350">
                        <a:noFill/>
                      </a:ln>
                    </wps:spPr>
                    <wps:txbx>
                      <w:txbxContent>
                        <w:p>
                          <w:pPr>
                            <w:ind w:left="-142"/>
                            <w:rPr>
                              <w:sz w:val="20"/>
                              <w:szCs w:val="20"/>
                            </w:rPr>
                          </w:pPr>
                          <w:r>
                            <w:rPr>
                              <w:sz w:val="20"/>
                              <w:szCs w:val="20"/>
                            </w:rPr>
                            <w:t>Version 1 – August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1" o:spid="_x0000_s1028" type="#_x0000_t202" style="position:absolute;margin-left:0;margin-top:0;width:130.55pt;height:2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" filled="f" stroked="f" strokeweight=".5pt">
              <v:textbox>
                <w:txbxContent>
                  <w:p>
                    <w:pPr>
                      <w:ind w:left="-142"/>
                      <w:rPr>
                        <w:sz w:val="20"/>
                        <w:szCs w:val="20"/>
                      </w:rPr>
                    </w:pPr>
                    <w:r>
                      <w:rPr>
                        <w:sz w:val="20"/>
                        <w:szCs w:val="20"/>
                      </w:rPr>
                      <w:t>Version 1 – August 2023</w:t>
                    </w:r>
                  </w:p>
                </w:txbxContent>
              </v:textbox>
            </v:shape>
          </w:pict>
        </mc:Fallback>
      </mc:AlternateContent>
    </w:r>
    <w:r>
      <w:rPr>
        <w:noProof/>
        <w:lang w:eastAsia="de-DE"/>
      </w:rPr>
      <w:drawing>
        <wp:anchor distT="0" distB="0" distL="114300" distR="114300" simplePos="0" relativeHeight="251675648" behindDoc="0" locked="0" layoutInCell="1" allowOverlap="1">
          <wp:simplePos x="0" y="0"/>
          <wp:positionH relativeFrom="column">
            <wp:posOffset>-955675</wp:posOffset>
          </wp:positionH>
          <wp:positionV relativeFrom="paragraph">
            <wp:posOffset>815753</wp:posOffset>
          </wp:positionV>
          <wp:extent cx="7602220" cy="10752455"/>
          <wp:effectExtent l="0" t="0" r="5080" b="444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2">
                    <a:extLst>
                      <a:ext uri="{28A0092B-C50C-407E-A947-70E740481C1C}">
                        <a14:useLocalDpi xmlns:a14="http://schemas.microsoft.com/office/drawing/2010/main" val="0"/>
                      </a:ext>
                    </a:extLst>
                  </a:blip>
                  <a:stretch>
                    <a:fillRect/>
                  </a:stretch>
                </pic:blipFill>
                <pic:spPr>
                  <a:xfrm>
                    <a:off x="0" y="0"/>
                    <a:ext cx="7602220" cy="107524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lang w:eastAsia="de-DE"/>
      </w:rPr>
      <w:drawing>
        <wp:anchor distT="0" distB="0" distL="114300" distR="114300" simplePos="0" relativeHeight="251676672" behindDoc="1" locked="0" layoutInCell="1" allowOverlap="1">
          <wp:simplePos x="0" y="0"/>
          <wp:positionH relativeFrom="column">
            <wp:posOffset>-913587</wp:posOffset>
          </wp:positionH>
          <wp:positionV relativeFrom="paragraph">
            <wp:posOffset>-575205</wp:posOffset>
          </wp:positionV>
          <wp:extent cx="7645400" cy="10813462"/>
          <wp:effectExtent l="0" t="0" r="0" b="6985"/>
          <wp:wrapNone/>
          <wp:docPr id="15" name="Grafik 15" descr="dekora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
                    <a:extLst>
                      <a:ext uri="{28A0092B-C50C-407E-A947-70E740481C1C}">
                        <a14:useLocalDpi xmlns:a14="http://schemas.microsoft.com/office/drawing/2010/main" val="0"/>
                      </a:ext>
                    </a:extLst>
                  </a:blip>
                  <a:stretch>
                    <a:fillRect/>
                  </a:stretch>
                </pic:blipFill>
                <pic:spPr>
                  <a:xfrm>
                    <a:off x="0" y="0"/>
                    <a:ext cx="7645400" cy="1081346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Interreg Deutschland-Danmark (Logo)" style="position:absolute;margin-left:-70.85pt;margin-top:-35.35pt;width:595.25pt;height:130.6pt;z-index:-251633664;mso-position-horizontal-relative:text;mso-position-vertical-relative:text" wrapcoords="-27 0 -27 21476 21600 21476 21600 0 -27 0">
          <v:imagedata r:id="rId1" o:title="INT_Header_fact-sheet"/>
          <w10:wrap type="tight"/>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161C3"/>
    <w:multiLevelType w:val="hybridMultilevel"/>
    <w:tmpl w:val="A21CAC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44E0AE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84A475A"/>
    <w:multiLevelType w:val="hybridMultilevel"/>
    <w:tmpl w:val="49DE2FDC"/>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5E412954"/>
    <w:multiLevelType w:val="multilevel"/>
    <w:tmpl w:val="DB7830D6"/>
    <w:lvl w:ilvl="0">
      <w:start w:val="1"/>
      <w:numFmt w:val="decimal"/>
      <w:lvlText w:val="%1."/>
      <w:lvlJc w:val="left"/>
      <w:pPr>
        <w:ind w:left="1776" w:hanging="360"/>
      </w:pPr>
      <w:rPr>
        <w:rFonts w:hint="default"/>
      </w:r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15:restartNumberingAfterBreak="0">
    <w:nsid w:val="648174EB"/>
    <w:multiLevelType w:val="hybridMultilevel"/>
    <w:tmpl w:val="1632DD02"/>
    <w:lvl w:ilvl="0" w:tplc="991C6E24">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763D5C4B"/>
    <w:multiLevelType w:val="multilevel"/>
    <w:tmpl w:val="D9AE9E0E"/>
    <w:lvl w:ilvl="0">
      <w:start w:val="1"/>
      <w:numFmt w:val="decimal"/>
      <w:pStyle w:val="berschrift2"/>
      <w:lvlText w:val="%1."/>
      <w:lvlJc w:val="left"/>
      <w:pPr>
        <w:ind w:left="360" w:hanging="360"/>
      </w:pPr>
    </w:lvl>
    <w:lvl w:ilvl="1">
      <w:start w:val="1"/>
      <w:numFmt w:val="decimal"/>
      <w:pStyle w:val="berschrift3"/>
      <w:lvlText w:val="%1.%2."/>
      <w:lvlJc w:val="left"/>
      <w:pPr>
        <w:ind w:left="792" w:hanging="432"/>
      </w:pPr>
    </w:lvl>
    <w:lvl w:ilvl="2">
      <w:start w:val="1"/>
      <w:numFmt w:val="decimal"/>
      <w:pStyle w:val="berschriftneu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5"/>
  </w:num>
  <w:num w:numId="3">
    <w:abstractNumId w:val="4"/>
  </w:num>
  <w:num w:numId="4">
    <w:abstractNumId w:val="4"/>
    <w:lvlOverride w:ilvl="0">
      <w:startOverride w:val="1"/>
    </w:lvlOverride>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E682100-14E2-7140-B297-0D3E8A7C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before="120" w:after="120"/>
    </w:pPr>
    <w:rPr>
      <w:rFonts w:eastAsiaTheme="minorEastAsia"/>
      <w:color w:val="4B4B4B"/>
    </w:rPr>
  </w:style>
  <w:style w:type="paragraph" w:styleId="berschrift1">
    <w:name w:val="heading 1"/>
    <w:basedOn w:val="Standard"/>
    <w:next w:val="Standard"/>
    <w:link w:val="berschrift1Zchn"/>
    <w:autoRedefine/>
    <w:uiPriority w:val="9"/>
    <w:qFormat/>
    <w:pPr>
      <w:keepNext/>
      <w:keepLines/>
      <w:spacing w:after="0"/>
      <w:outlineLvl w:val="0"/>
    </w:pPr>
    <w:rPr>
      <w:rFonts w:ascii="Arial Black" w:eastAsiaTheme="majorEastAsia" w:hAnsi="Arial Black" w:cstheme="majorBidi"/>
      <w:szCs w:val="32"/>
    </w:rPr>
  </w:style>
  <w:style w:type="paragraph" w:styleId="berschrift2">
    <w:name w:val="heading 2"/>
    <w:basedOn w:val="Standard"/>
    <w:next w:val="Standard"/>
    <w:link w:val="berschrift2Zchn"/>
    <w:uiPriority w:val="9"/>
    <w:unhideWhenUsed/>
    <w:qFormat/>
    <w:pPr>
      <w:keepNext/>
      <w:keepLines/>
      <w:numPr>
        <w:numId w:val="2"/>
      </w:numPr>
      <w:spacing w:before="280" w:after="240"/>
      <w:outlineLvl w:val="1"/>
    </w:pPr>
    <w:rPr>
      <w:rFonts w:ascii="Arial Black" w:eastAsiaTheme="majorEastAsia" w:hAnsi="Arial Black" w:cstheme="majorBidi"/>
      <w:b/>
      <w:sz w:val="28"/>
      <w:szCs w:val="26"/>
    </w:rPr>
  </w:style>
  <w:style w:type="paragraph" w:styleId="berschrift3">
    <w:name w:val="heading 3"/>
    <w:basedOn w:val="berschrift2"/>
    <w:next w:val="Standard"/>
    <w:link w:val="berschrift3Zchn"/>
    <w:uiPriority w:val="9"/>
    <w:unhideWhenUsed/>
    <w:qFormat/>
    <w:pPr>
      <w:numPr>
        <w:ilvl w:val="1"/>
      </w:numPr>
      <w:outlineLvl w:val="2"/>
    </w:p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style>
  <w:style w:type="character" w:customStyle="1" w:styleId="berschrift1Zchn">
    <w:name w:val="Überschrift 1 Zchn"/>
    <w:basedOn w:val="Absatz-Standardschriftart"/>
    <w:link w:val="berschrift1"/>
    <w:uiPriority w:val="9"/>
    <w:rPr>
      <w:rFonts w:ascii="Arial Black" w:eastAsiaTheme="majorEastAsia" w:hAnsi="Arial Black" w:cstheme="majorBidi"/>
      <w:color w:val="4B4B4B"/>
      <w:szCs w:val="32"/>
    </w:rPr>
  </w:style>
  <w:style w:type="paragraph" w:styleId="Untertitel">
    <w:name w:val="Subtitle"/>
    <w:basedOn w:val="Standard"/>
    <w:next w:val="Standard"/>
    <w:link w:val="UntertitelZchn"/>
    <w:autoRedefine/>
    <w:uiPriority w:val="11"/>
    <w:qFormat/>
    <w:pPr>
      <w:numPr>
        <w:ilvl w:val="1"/>
      </w:numPr>
    </w:pPr>
    <w:rPr>
      <w:rFonts w:ascii="Arial Black" w:hAnsi="Arial Black"/>
      <w:b/>
      <w:spacing w:val="15"/>
      <w:sz w:val="16"/>
      <w:szCs w:val="22"/>
    </w:rPr>
  </w:style>
  <w:style w:type="character" w:customStyle="1" w:styleId="UntertitelZchn">
    <w:name w:val="Untertitel Zchn"/>
    <w:basedOn w:val="Absatz-Standardschriftart"/>
    <w:link w:val="Untertitel"/>
    <w:uiPriority w:val="11"/>
    <w:rPr>
      <w:rFonts w:ascii="Arial Black" w:eastAsiaTheme="minorEastAsia" w:hAnsi="Arial Black"/>
      <w:b/>
      <w:color w:val="4B4B4B"/>
      <w:spacing w:val="15"/>
      <w:sz w:val="16"/>
      <w:szCs w:val="22"/>
    </w:rPr>
  </w:style>
  <w:style w:type="paragraph" w:customStyle="1" w:styleId="Flietext">
    <w:name w:val="Fließtext"/>
    <w:basedOn w:val="Standard"/>
    <w:link w:val="FlietextZchn"/>
    <w:qFormat/>
    <w:pPr>
      <w:spacing w:line="276" w:lineRule="auto"/>
    </w:pPr>
    <w:rPr>
      <w:sz w:val="22"/>
      <w:szCs w:val="16"/>
    </w:rPr>
  </w:style>
  <w:style w:type="character" w:customStyle="1" w:styleId="berschrift2Zchn">
    <w:name w:val="Überschrift 2 Zchn"/>
    <w:basedOn w:val="Absatz-Standardschriftart"/>
    <w:link w:val="berschrift2"/>
    <w:uiPriority w:val="9"/>
    <w:rPr>
      <w:rFonts w:ascii="Arial Black" w:eastAsiaTheme="majorEastAsia" w:hAnsi="Arial Black" w:cstheme="majorBidi"/>
      <w:b/>
      <w:color w:val="4B4B4B"/>
      <w:sz w:val="28"/>
      <w:szCs w:val="26"/>
    </w:rPr>
  </w:style>
  <w:style w:type="character" w:customStyle="1" w:styleId="berschrift3Zchn">
    <w:name w:val="Überschrift 3 Zchn"/>
    <w:basedOn w:val="Absatz-Standardschriftart"/>
    <w:link w:val="berschrift3"/>
    <w:uiPriority w:val="9"/>
    <w:rPr>
      <w:rFonts w:ascii="Arial Black" w:eastAsiaTheme="majorEastAsia" w:hAnsi="Arial Black" w:cstheme="majorBidi"/>
      <w:b/>
      <w:color w:val="4B4B4B"/>
      <w:sz w:val="28"/>
      <w:szCs w:val="26"/>
    </w:rPr>
  </w:style>
  <w:style w:type="paragraph" w:styleId="Verzeichnis1">
    <w:name w:val="toc 1"/>
    <w:basedOn w:val="Standard"/>
    <w:next w:val="Standard"/>
    <w:autoRedefine/>
    <w:uiPriority w:val="39"/>
    <w:unhideWhenUsed/>
    <w:pPr>
      <w:spacing w:before="240" w:after="240"/>
    </w:pPr>
    <w:rPr>
      <w:b/>
    </w:rPr>
  </w:style>
  <w:style w:type="paragraph" w:styleId="Verzeichnis2">
    <w:name w:val="toc 2"/>
    <w:basedOn w:val="Standard"/>
    <w:next w:val="Standard"/>
    <w:autoRedefine/>
    <w:uiPriority w:val="39"/>
    <w:unhideWhenUsed/>
    <w:pPr>
      <w:spacing w:after="0"/>
      <w:ind w:left="708"/>
    </w:pPr>
    <w:rPr>
      <w:rFonts w:cstheme="minorHAnsi"/>
      <w:b/>
      <w:bCs/>
      <w:szCs w:val="20"/>
    </w:rPr>
  </w:style>
  <w:style w:type="paragraph" w:styleId="Verzeichnis3">
    <w:name w:val="toc 3"/>
    <w:basedOn w:val="Standard"/>
    <w:next w:val="Standard"/>
    <w:autoRedefine/>
    <w:uiPriority w:val="39"/>
    <w:unhideWhenUsed/>
    <w:pPr>
      <w:spacing w:before="0" w:after="0"/>
      <w:ind w:left="240"/>
    </w:pPr>
    <w:rPr>
      <w:rFonts w:cstheme="minorHAnsi"/>
      <w:sz w:val="20"/>
      <w:szCs w:val="20"/>
    </w:rPr>
  </w:style>
  <w:style w:type="paragraph" w:styleId="Verzeichnis4">
    <w:name w:val="toc 4"/>
    <w:basedOn w:val="Standard"/>
    <w:next w:val="Standard"/>
    <w:autoRedefine/>
    <w:uiPriority w:val="39"/>
    <w:unhideWhenUsed/>
    <w:pPr>
      <w:spacing w:before="0" w:after="0"/>
      <w:ind w:left="480"/>
    </w:pPr>
    <w:rPr>
      <w:rFonts w:cstheme="minorHAnsi"/>
      <w:sz w:val="20"/>
      <w:szCs w:val="20"/>
    </w:rPr>
  </w:style>
  <w:style w:type="paragraph" w:styleId="Verzeichnis5">
    <w:name w:val="toc 5"/>
    <w:basedOn w:val="Standard"/>
    <w:next w:val="Standard"/>
    <w:autoRedefine/>
    <w:uiPriority w:val="39"/>
    <w:unhideWhenUsed/>
    <w:pPr>
      <w:spacing w:before="0" w:after="0"/>
      <w:ind w:left="720"/>
    </w:pPr>
    <w:rPr>
      <w:rFonts w:cstheme="minorHAnsi"/>
      <w:sz w:val="20"/>
      <w:szCs w:val="20"/>
    </w:rPr>
  </w:style>
  <w:style w:type="paragraph" w:styleId="Verzeichnis6">
    <w:name w:val="toc 6"/>
    <w:basedOn w:val="Standard"/>
    <w:next w:val="Standard"/>
    <w:autoRedefine/>
    <w:uiPriority w:val="39"/>
    <w:unhideWhenUsed/>
    <w:pPr>
      <w:spacing w:before="0" w:after="0"/>
      <w:ind w:left="960"/>
    </w:pPr>
    <w:rPr>
      <w:rFonts w:cstheme="minorHAnsi"/>
      <w:sz w:val="20"/>
      <w:szCs w:val="20"/>
    </w:rPr>
  </w:style>
  <w:style w:type="paragraph" w:styleId="Verzeichnis7">
    <w:name w:val="toc 7"/>
    <w:basedOn w:val="Standard"/>
    <w:next w:val="Standard"/>
    <w:autoRedefine/>
    <w:uiPriority w:val="39"/>
    <w:unhideWhenUsed/>
    <w:pPr>
      <w:spacing w:before="0" w:after="0"/>
      <w:ind w:left="1200"/>
    </w:pPr>
    <w:rPr>
      <w:rFonts w:cstheme="minorHAnsi"/>
      <w:sz w:val="20"/>
      <w:szCs w:val="20"/>
    </w:rPr>
  </w:style>
  <w:style w:type="paragraph" w:styleId="Verzeichnis8">
    <w:name w:val="toc 8"/>
    <w:basedOn w:val="Standard"/>
    <w:next w:val="Standard"/>
    <w:autoRedefine/>
    <w:uiPriority w:val="39"/>
    <w:unhideWhenUsed/>
    <w:pPr>
      <w:spacing w:before="0" w:after="0"/>
      <w:ind w:left="1440"/>
    </w:pPr>
    <w:rPr>
      <w:rFonts w:cstheme="minorHAnsi"/>
      <w:sz w:val="20"/>
      <w:szCs w:val="20"/>
    </w:rPr>
  </w:style>
  <w:style w:type="paragraph" w:styleId="Verzeichnis9">
    <w:name w:val="toc 9"/>
    <w:basedOn w:val="Standard"/>
    <w:next w:val="Standard"/>
    <w:autoRedefine/>
    <w:uiPriority w:val="39"/>
    <w:unhideWhenUsed/>
    <w:pPr>
      <w:spacing w:before="0" w:after="0"/>
      <w:ind w:left="1680"/>
    </w:pPr>
    <w:rPr>
      <w:rFonts w:cstheme="minorHAnsi"/>
      <w:sz w:val="20"/>
      <w:szCs w:val="20"/>
    </w:rPr>
  </w:style>
  <w:style w:type="character" w:styleId="Hyperlink">
    <w:name w:val="Hyperlink"/>
    <w:basedOn w:val="Absatz-Standardschriftart"/>
    <w:uiPriority w:val="99"/>
    <w:unhideWhenUsed/>
    <w:rPr>
      <w:color w:val="0563C1" w:themeColor="hyperlink"/>
      <w:u w:val="single"/>
    </w:rPr>
  </w:style>
  <w:style w:type="paragraph" w:styleId="berarbeitung">
    <w:name w:val="Revision"/>
    <w:hidden/>
    <w:uiPriority w:val="99"/>
    <w:semiHidden/>
    <w:rPr>
      <w:rFonts w:eastAsiaTheme="minorEastAsia"/>
      <w:color w:val="4B4B4B"/>
    </w:r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2F5496" w:themeColor="accent1" w:themeShade="BF"/>
    </w:rPr>
  </w:style>
  <w:style w:type="paragraph" w:styleId="Index2">
    <w:name w:val="index 2"/>
    <w:basedOn w:val="Standard"/>
    <w:next w:val="Standard"/>
    <w:autoRedefine/>
    <w:uiPriority w:val="99"/>
    <w:semiHidden/>
    <w:unhideWhenUsed/>
    <w:pPr>
      <w:spacing w:before="0" w:after="0"/>
      <w:ind w:left="480" w:hanging="240"/>
    </w:pPr>
  </w:style>
  <w:style w:type="paragraph" w:styleId="Sprechblasentext">
    <w:name w:val="Balloon Text"/>
    <w:basedOn w:val="Standard"/>
    <w:link w:val="SprechblasentextZchn"/>
    <w:uiPriority w:val="99"/>
    <w:semiHidden/>
    <w:unhideWhenUsed/>
    <w:pPr>
      <w:spacing w:before="0"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eastAsiaTheme="minorEastAsia" w:hAnsi="Segoe UI" w:cs="Segoe UI"/>
      <w:color w:val="4B4B4B"/>
      <w:sz w:val="18"/>
      <w:szCs w:val="18"/>
    </w:rPr>
  </w:style>
  <w:style w:type="paragraph" w:customStyle="1" w:styleId="berschriftneu3">
    <w:name w:val="Überschrift neu 3"/>
    <w:basedOn w:val="berschrift3"/>
    <w:link w:val="berschriftneu3Zchn"/>
    <w:qFormat/>
    <w:pPr>
      <w:numPr>
        <w:ilvl w:val="2"/>
      </w:numPr>
      <w:ind w:left="1701" w:hanging="981"/>
    </w:pPr>
    <w:rPr>
      <w:sz w:val="20"/>
    </w:rPr>
  </w:style>
  <w:style w:type="character" w:customStyle="1" w:styleId="FlietextZchn">
    <w:name w:val="Fließtext Zchn"/>
    <w:basedOn w:val="Absatz-Standardschriftart"/>
    <w:link w:val="Flietext"/>
    <w:rPr>
      <w:rFonts w:eastAsiaTheme="minorEastAsia"/>
      <w:color w:val="4B4B4B"/>
      <w:sz w:val="22"/>
      <w:szCs w:val="16"/>
    </w:rPr>
  </w:style>
  <w:style w:type="character" w:customStyle="1" w:styleId="berschriftneu3Zchn">
    <w:name w:val="Überschrift neu 3 Zchn"/>
    <w:basedOn w:val="FlietextZchn"/>
    <w:link w:val="berschriftneu3"/>
    <w:rPr>
      <w:rFonts w:ascii="Arial Black" w:eastAsiaTheme="majorEastAsia" w:hAnsi="Arial Black" w:cstheme="majorBidi"/>
      <w:b/>
      <w:color w:val="4B4B4B"/>
      <w:sz w:val="20"/>
      <w:szCs w:val="26"/>
    </w:rPr>
  </w:style>
  <w:style w:type="paragraph" w:styleId="Listenabsatz">
    <w:name w:val="List Paragraph"/>
    <w:basedOn w:val="Standard"/>
    <w:uiPriority w:val="34"/>
    <w:qFormat/>
    <w:pPr>
      <w:ind w:left="720"/>
      <w:contextualSpacing/>
    </w:pPr>
  </w:style>
  <w:style w:type="paragraph" w:styleId="Titel">
    <w:name w:val="Title"/>
    <w:basedOn w:val="Standard"/>
    <w:next w:val="Standard"/>
    <w:link w:val="TitelZchn"/>
    <w:uiPriority w:val="10"/>
    <w:qFormat/>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8242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DDD04-7A1B-46B8-A9D3-A4F081B38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3936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Vorlage Interreg Förderbestimmungen 3.0 final</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 Interreg Förderbestimmungen 3.0 final</dc:title>
  <dc:subject/>
  <dc:creator>b5622</dc:creator>
  <cp:keywords/>
  <dc:description/>
  <cp:lastModifiedBy>Hellwig, Antje</cp:lastModifiedBy>
  <cp:revision>3</cp:revision>
  <cp:lastPrinted>2022-04-05T08:44:00Z</cp:lastPrinted>
  <dcterms:created xsi:type="dcterms:W3CDTF">2023-09-20T13:36:00Z</dcterms:created>
  <dcterms:modified xsi:type="dcterms:W3CDTF">2023-10-12T13:22:00Z</dcterms:modified>
</cp:coreProperties>
</file>